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1247DE" w14:textId="71E791E2" w:rsidR="000F7C7C" w:rsidRPr="009B3F8F" w:rsidRDefault="00C37D0D" w:rsidP="00B6220C">
      <w:pPr>
        <w:spacing w:after="120" w:line="252" w:lineRule="auto"/>
        <w:rPr>
          <w:rStyle w:val="Titel14PtFett1"/>
          <w:rFonts w:ascii="Avenir Next Condensed Demi Bold" w:hAnsi="Avenir Next Condensed Demi Bold"/>
          <w:b w:val="0"/>
          <w:bCs w:val="0"/>
          <w:color w:val="000000"/>
          <w:sz w:val="24"/>
        </w:rPr>
      </w:pPr>
      <w:r w:rsidRPr="009B3F8F">
        <w:rPr>
          <w:rStyle w:val="Titel14PtFett1"/>
          <w:rFonts w:ascii="Avenir Next Condensed Demi Bold" w:hAnsi="Avenir Next Condensed Demi Bold"/>
          <w:b w:val="0"/>
          <w:bCs w:val="0"/>
          <w:color w:val="000000"/>
          <w:sz w:val="24"/>
        </w:rPr>
        <w:t>EIGENERKLÄRUNG ZUR RECHTSLAGE</w:t>
      </w:r>
    </w:p>
    <w:p w14:paraId="522C1B57" w14:textId="3258ECC4" w:rsidR="00D513F1" w:rsidRPr="009B3F8F" w:rsidRDefault="00D513F1" w:rsidP="006806C2">
      <w:pPr>
        <w:pStyle w:val="berschrift1"/>
        <w:rPr>
          <w:b/>
          <w:bCs w:val="0"/>
          <w:color w:val="000000"/>
        </w:rPr>
      </w:pPr>
      <w:r w:rsidRPr="009B3F8F">
        <w:rPr>
          <w:bCs w:val="0"/>
          <w:color w:val="000000"/>
        </w:rPr>
        <w:t>Ausschlussgründe § 48 VgV und § 123 Abs. 1 GWB</w:t>
      </w:r>
    </w:p>
    <w:p w14:paraId="0121B106" w14:textId="5A321272" w:rsidR="00D513F1" w:rsidRPr="00B50273" w:rsidRDefault="00D513F1" w:rsidP="00295841">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261 des Strafgesetzbuchs (Geldwäsche; Verschleierung unrechtmäßig erlangter Vermögenswerte),</w:t>
      </w:r>
    </w:p>
    <w:p w14:paraId="1CD3E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108e des Strafgesetzbuchs (Bestechlichkeit und Bestechung von Mandatsträgern),</w:t>
      </w:r>
    </w:p>
    <w:p w14:paraId="427BD9EA"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Artikel 2 § 2 des Gesetzes zur Bekämpfung internationaler Bestechung (Bestechung ausländischer Abgeordneter im Zusammenhang mit internationalem Geschäftsverkehr) oder</w:t>
      </w:r>
    </w:p>
    <w:p w14:paraId="029C2A7C" w14:textId="0A66A982" w:rsidR="005859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den §§ 232, 232a Absatz 1 bis 5, den §§ 232b bis 233a des Strafgesetzbuches (Menschenhandel, Zwangsprostitution, Zwangsarbeit, Ausbeutung der Arbeitskraft, Ausbeutung unter Ausnutzung einer Freiheitsberaubung).</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175E04D9" w14:textId="77777777" w:rsidTr="00585991">
        <w:tc>
          <w:tcPr>
            <w:tcW w:w="6804" w:type="dxa"/>
          </w:tcPr>
          <w:p w14:paraId="5D713252"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6C4E6AA4"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87639A4" w14:textId="77777777" w:rsidR="00B6220C" w:rsidRDefault="00B6220C">
      <w:pPr>
        <w:spacing w:line="240" w:lineRule="auto"/>
        <w:jc w:val="left"/>
        <w:rPr>
          <w:rFonts w:ascii="Avenir Next Condensed Demi Bold" w:hAnsi="Avenir Next Condensed Demi Bold" w:cs="Arial"/>
          <w:color w:val="000000"/>
          <w:kern w:val="32"/>
          <w:sz w:val="24"/>
          <w:szCs w:val="32"/>
        </w:rPr>
      </w:pPr>
      <w:r>
        <w:rPr>
          <w:rFonts w:ascii="Avenir Next Condensed Demi Bold" w:hAnsi="Avenir Next Condensed Demi Bold"/>
          <w:b/>
          <w:bCs/>
          <w:color w:val="000000"/>
        </w:rPr>
        <w:br w:type="page"/>
      </w:r>
    </w:p>
    <w:p w14:paraId="24C78493" w14:textId="3B474D37" w:rsidR="00D513F1" w:rsidRPr="009B3F8F" w:rsidRDefault="00B6220C" w:rsidP="005828A7">
      <w:pPr>
        <w:pStyle w:val="berschrift1"/>
        <w:numPr>
          <w:ilvl w:val="0"/>
          <w:numId w:val="0"/>
        </w:numPr>
        <w:ind w:left="851" w:hanging="851"/>
        <w:rPr>
          <w:b/>
          <w:bCs w:val="0"/>
          <w:color w:val="000000"/>
        </w:rPr>
      </w:pPr>
      <w:r>
        <w:rPr>
          <w:bCs w:val="0"/>
          <w:color w:val="000000"/>
        </w:rPr>
        <w:lastRenderedPageBreak/>
        <w:t>2</w:t>
      </w:r>
      <w:r>
        <w:rPr>
          <w:bCs w:val="0"/>
          <w:color w:val="000000"/>
        </w:rPr>
        <w:tab/>
      </w:r>
      <w:r w:rsidR="00D513F1" w:rsidRPr="009B3F8F">
        <w:rPr>
          <w:bCs w:val="0"/>
          <w:color w:val="000000"/>
        </w:rPr>
        <w:t>Ausschlussgründe § 48 VgV und § 123 Abs. 4 GWB</w:t>
      </w:r>
    </w:p>
    <w:p w14:paraId="1535BDDE" w14:textId="581CFF01"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643D6E84" w14:textId="453630FA" w:rsidR="00A74091" w:rsidRPr="00B6220C" w:rsidRDefault="00D513F1" w:rsidP="00B6220C">
      <w:pPr>
        <w:numPr>
          <w:ilvl w:val="0"/>
          <w:numId w:val="4"/>
        </w:num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die öffentlichen Auftraggeber auf sonstige geeignete Weise die Verletzung einer o. g. Verpflichtung nachweisen können.</w:t>
      </w:r>
    </w:p>
    <w:p w14:paraId="005B639B" w14:textId="4CD7F830" w:rsidR="00585991" w:rsidRPr="00B50273" w:rsidRDefault="00D513F1" w:rsidP="00B6220C">
      <w:pPr>
        <w:spacing w:after="120" w:line="252" w:lineRule="auto"/>
        <w:rPr>
          <w:rFonts w:ascii="Avenir Next Condensed" w:hAnsi="Avenir Next Condensed" w:cs="Arial"/>
          <w:color w:val="000000"/>
          <w:szCs w:val="20"/>
        </w:rPr>
      </w:pPr>
      <w:r w:rsidRPr="00B50273">
        <w:rPr>
          <w:rFonts w:ascii="Avenir Next Condensed" w:hAnsi="Avenir Next Condensed"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205C04AA" w14:textId="77777777" w:rsidTr="00585991">
        <w:tc>
          <w:tcPr>
            <w:tcW w:w="6804" w:type="dxa"/>
          </w:tcPr>
          <w:p w14:paraId="34547786" w14:textId="77777777" w:rsidR="00D513F1" w:rsidRPr="00B50273" w:rsidRDefault="00D513F1" w:rsidP="00B6220C">
            <w:pPr>
              <w:spacing w:line="252" w:lineRule="auto"/>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B50273"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071884967"/>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157ABAC6" w14:textId="77777777" w:rsidR="00D513F1" w:rsidRPr="00B50273" w:rsidRDefault="00000000" w:rsidP="00B6220C">
            <w:pPr>
              <w:spacing w:line="252" w:lineRule="auto"/>
              <w:jc w:val="center"/>
              <w:rPr>
                <w:rFonts w:ascii="Avenir Next Condensed" w:hAnsi="Avenir Next Condensed"/>
                <w:color w:val="000000"/>
                <w:sz w:val="24"/>
              </w:rPr>
            </w:pPr>
            <w:sdt>
              <w:sdtPr>
                <w:rPr>
                  <w:rFonts w:ascii="Avenir Next Condensed" w:hAnsi="Avenir Next Condensed"/>
                  <w:color w:val="000000"/>
                  <w:sz w:val="24"/>
                </w:rPr>
                <w:id w:val="-1948147593"/>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74E6B6BD" w14:textId="7C301BFE" w:rsidR="00D513F1" w:rsidRPr="009B3F8F" w:rsidRDefault="005828A7" w:rsidP="005828A7">
      <w:pPr>
        <w:pStyle w:val="berschrift1"/>
        <w:numPr>
          <w:ilvl w:val="0"/>
          <w:numId w:val="0"/>
        </w:numPr>
        <w:ind w:left="851" w:hanging="851"/>
      </w:pPr>
      <w:r>
        <w:t>3</w:t>
      </w:r>
      <w:r>
        <w:tab/>
      </w:r>
      <w:r w:rsidR="00D513F1" w:rsidRPr="005828A7">
        <w:rPr>
          <w:bCs w:val="0"/>
          <w:color w:val="000000"/>
        </w:rPr>
        <w:t>Ausschlussgründe § 48 VgV und § 124 GWB</w:t>
      </w:r>
    </w:p>
    <w:p w14:paraId="51FD7283" w14:textId="353C4EE8" w:rsidR="00D513F1" w:rsidRPr="00B50273" w:rsidRDefault="00D513F1" w:rsidP="00295841">
      <w:pPr>
        <w:spacing w:after="120" w:line="252" w:lineRule="auto"/>
        <w:rPr>
          <w:rFonts w:ascii="Avenir Next Condensed" w:hAnsi="Avenir Next Condensed"/>
          <w:color w:val="000000"/>
        </w:rPr>
      </w:pPr>
      <w:r w:rsidRPr="00B50273">
        <w:rPr>
          <w:rFonts w:ascii="Avenir Next Condensed" w:hAnsi="Avenir Next Condensed"/>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bei der Ausführung öffentlicher Aufträge nachweislich gegen geltende umwelt-, sozial- oder arbeitsrechtliche Verpflichtungen verstoßen hat,</w:t>
      </w:r>
    </w:p>
    <w:p w14:paraId="09496646"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im Rahmen der beruflichen Tätigkeit nachweislich eine schwere Verfehlung begangen hat, durch die die Integrität des Unternehmens infrage gestellt wird; § 123 Absatz 3</w:t>
      </w:r>
      <w:r w:rsidR="00F36BAE" w:rsidRPr="00B50273">
        <w:rPr>
          <w:rFonts w:ascii="Avenir Next Condensed" w:hAnsi="Avenir Next Condensed"/>
          <w:color w:val="000000"/>
          <w:szCs w:val="20"/>
        </w:rPr>
        <w:t xml:space="preserve"> GWB</w:t>
      </w:r>
      <w:r w:rsidRPr="00B50273">
        <w:rPr>
          <w:rFonts w:ascii="Avenir Next Condensed" w:hAnsi="Avenir Next Condensed"/>
          <w:color w:val="000000"/>
          <w:szCs w:val="20"/>
        </w:rPr>
        <w:t xml:space="preserve"> ist entsprechend anzuwenden,</w:t>
      </w:r>
    </w:p>
    <w:p w14:paraId="79F2CD3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B50273">
        <w:rPr>
          <w:rFonts w:ascii="Avenir Next Condensed" w:hAnsi="Avenir Next Condensed"/>
          <w:color w:val="000000"/>
          <w:szCs w:val="20"/>
        </w:rPr>
        <w:t>einschneidende Maßnahmen nicht wirksam beseitigt werden</w:t>
      </w:r>
      <w:r w:rsidR="00547136" w:rsidRPr="00B50273">
        <w:rPr>
          <w:rFonts w:ascii="Avenir Next Condensed" w:hAnsi="Avenir Next Condensed"/>
          <w:color w:val="000000"/>
          <w:szCs w:val="20"/>
        </w:rPr>
        <w:t xml:space="preserve"> </w:t>
      </w:r>
      <w:r w:rsidRPr="00B50273">
        <w:rPr>
          <w:rFonts w:ascii="Avenir Next Condensed" w:hAnsi="Avenir Next Condensed"/>
          <w:color w:val="000000"/>
          <w:szCs w:val="20"/>
        </w:rPr>
        <w:t>kann,</w:t>
      </w:r>
    </w:p>
    <w:p w14:paraId="00006D53"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lastRenderedPageBreak/>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B50273" w:rsidRDefault="00D513F1"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 Unternehmen </w:t>
      </w:r>
    </w:p>
    <w:p w14:paraId="0B20FF73"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a) versucht hat, die Entscheidungsfindung des öffentlichen Auftraggebers in unzulässiger Weise zu beeinflussen,</w:t>
      </w:r>
    </w:p>
    <w:p w14:paraId="0BF49F72" w14:textId="77777777" w:rsidR="00D513F1" w:rsidRPr="00B50273" w:rsidRDefault="00D513F1" w:rsidP="00B6220C">
      <w:pPr>
        <w:spacing w:line="252" w:lineRule="auto"/>
        <w:ind w:left="851"/>
        <w:rPr>
          <w:rFonts w:ascii="Avenir Next Condensed" w:hAnsi="Avenir Next Condensed"/>
          <w:color w:val="000000"/>
          <w:szCs w:val="20"/>
        </w:rPr>
      </w:pPr>
      <w:r w:rsidRPr="00B50273">
        <w:rPr>
          <w:rFonts w:ascii="Avenir Next Condensed" w:hAnsi="Avenir Next Condensed"/>
          <w:color w:val="000000"/>
          <w:szCs w:val="20"/>
        </w:rPr>
        <w:t>b) versucht hat, vertrauliche Informationen zu erhalten, durch die es unzulässige Vorteile beim Vergabeverfahren erlangen könnte, oder</w:t>
      </w:r>
    </w:p>
    <w:p w14:paraId="100196E6" w14:textId="694731B6" w:rsidR="00A74091" w:rsidRPr="00B50273" w:rsidRDefault="00D513F1" w:rsidP="00B6220C">
      <w:pPr>
        <w:spacing w:after="120" w:line="252" w:lineRule="auto"/>
        <w:ind w:left="851"/>
        <w:rPr>
          <w:rFonts w:ascii="Avenir Next Condensed" w:hAnsi="Avenir Next Condensed"/>
          <w:color w:val="000000"/>
          <w:szCs w:val="20"/>
        </w:rPr>
      </w:pPr>
      <w:r w:rsidRPr="00B50273">
        <w:rPr>
          <w:rFonts w:ascii="Avenir Next Condensed" w:hAnsi="Avenir Next Condensed"/>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6CCD9537" w14:textId="6F2265B6" w:rsidR="00585991" w:rsidRPr="00B6220C" w:rsidRDefault="00D513F1" w:rsidP="00B6220C">
      <w:pPr>
        <w:spacing w:after="120" w:line="252" w:lineRule="auto"/>
        <w:rPr>
          <w:rFonts w:ascii="Avenir Next Condensed" w:hAnsi="Avenir Next Condensed"/>
          <w:color w:val="000000"/>
          <w:szCs w:val="20"/>
        </w:rPr>
      </w:pPr>
      <w:r w:rsidRPr="00B50273">
        <w:rPr>
          <w:rFonts w:ascii="Avenir Next Condensed" w:hAnsi="Avenir Next Condensed"/>
          <w:color w:val="000000"/>
          <w:szCs w:val="20"/>
        </w:rPr>
        <w:t>§ 21 des Arbeitnehmer-Entsendegesetzes, § 98c des Aufenthaltsgesetzes, § 19 des Mindestlohngesetzes und § 21 des Schwarzarbeitsbekämpfungsgesetzes bleiben unberührt.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B50273" w14:paraId="7A87FEBA" w14:textId="77777777" w:rsidTr="00585991">
        <w:tc>
          <w:tcPr>
            <w:tcW w:w="6804" w:type="dxa"/>
          </w:tcPr>
          <w:p w14:paraId="39AB16B7" w14:textId="77777777" w:rsidR="00D513F1" w:rsidRPr="00B50273" w:rsidRDefault="00D513F1" w:rsidP="00F56EF7">
            <w:pPr>
              <w:rPr>
                <w:rFonts w:ascii="Avenir Next Condensed" w:hAnsi="Avenir Next Condensed"/>
                <w:color w:val="000000"/>
              </w:rPr>
            </w:pPr>
            <w:r w:rsidRPr="00B50273">
              <w:rPr>
                <w:rFonts w:ascii="Avenir Next Condensed" w:hAnsi="Avenir Next Condensed" w:cs="Arial"/>
                <w:color w:val="000000"/>
                <w:szCs w:val="20"/>
              </w:rPr>
              <w:t xml:space="preserve">Der Bewerber erklärt, dass gegen das sich bewerbende Unternehmen </w:t>
            </w:r>
            <w:r w:rsidRPr="00B50273">
              <w:rPr>
                <w:rFonts w:ascii="Avenir Next Condensed" w:hAnsi="Avenir Next Condensed" w:cs="Arial"/>
                <w:color w:val="000000"/>
                <w:szCs w:val="20"/>
                <w:u w:val="single"/>
              </w:rPr>
              <w:t>keine</w:t>
            </w:r>
            <w:r w:rsidRPr="00B50273">
              <w:rPr>
                <w:rFonts w:ascii="Avenir Next Condensed" w:hAnsi="Avenir Next Condensed"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6710645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ja</w:t>
            </w:r>
          </w:p>
        </w:tc>
        <w:tc>
          <w:tcPr>
            <w:tcW w:w="1134" w:type="dxa"/>
            <w:shd w:val="clear" w:color="auto" w:fill="D9D9D9" w:themeFill="background1" w:themeFillShade="D9"/>
            <w:vAlign w:val="center"/>
          </w:tcPr>
          <w:p w14:paraId="7491055F" w14:textId="77777777" w:rsidR="00D513F1" w:rsidRPr="00B50273" w:rsidRDefault="00000000" w:rsidP="00585991">
            <w:pPr>
              <w:jc w:val="center"/>
              <w:rPr>
                <w:rFonts w:ascii="Avenir Next Condensed" w:hAnsi="Avenir Next Condensed"/>
                <w:color w:val="000000"/>
                <w:sz w:val="24"/>
              </w:rPr>
            </w:pPr>
            <w:sdt>
              <w:sdtPr>
                <w:rPr>
                  <w:rFonts w:ascii="Avenir Next Condensed" w:hAnsi="Avenir Next Condensed"/>
                  <w:color w:val="000000"/>
                  <w:sz w:val="24"/>
                </w:rPr>
                <w:id w:val="-1272550634"/>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nein</w:t>
            </w:r>
          </w:p>
        </w:tc>
      </w:tr>
    </w:tbl>
    <w:p w14:paraId="420C1962" w14:textId="2CE7A16C" w:rsidR="00D513F1" w:rsidRPr="009B3F8F" w:rsidRDefault="005828A7" w:rsidP="005828A7">
      <w:pPr>
        <w:pStyle w:val="berschrift1"/>
        <w:numPr>
          <w:ilvl w:val="0"/>
          <w:numId w:val="0"/>
        </w:numPr>
        <w:ind w:left="851" w:hanging="851"/>
      </w:pPr>
      <w:r>
        <w:t>4</w:t>
      </w:r>
      <w:r w:rsidRPr="005828A7">
        <w:rPr>
          <w:bCs w:val="0"/>
          <w:color w:val="000000"/>
        </w:rPr>
        <w:tab/>
      </w:r>
      <w:r w:rsidR="00D513F1" w:rsidRPr="005828A7">
        <w:rPr>
          <w:bCs w:val="0"/>
          <w:color w:val="000000"/>
        </w:rPr>
        <w:t xml:space="preserve">Selbstreinigungsmaßnahmen gemäß § 125 </w:t>
      </w:r>
      <w:r w:rsidR="00B44834" w:rsidRPr="005828A7">
        <w:rPr>
          <w:bCs w:val="0"/>
          <w:color w:val="000000"/>
        </w:rPr>
        <w:t>GWB</w:t>
      </w:r>
    </w:p>
    <w:p w14:paraId="65369A64" w14:textId="3D799FAF" w:rsidR="00D513F1" w:rsidRPr="00B50273" w:rsidRDefault="00D513F1" w:rsidP="00B6220C">
      <w:pPr>
        <w:spacing w:after="120" w:line="252" w:lineRule="auto"/>
        <w:rPr>
          <w:rFonts w:ascii="Avenir Next Condensed" w:hAnsi="Avenir Next Condensed"/>
          <w:color w:val="000000"/>
        </w:rPr>
      </w:pPr>
      <w:r w:rsidRPr="00B50273">
        <w:rPr>
          <w:rFonts w:ascii="Avenir Next Condensed" w:hAnsi="Avenir Next Condensed"/>
          <w:color w:val="000000"/>
        </w:rPr>
        <w:t>Öffentliche Auftraggeber schließen ein Unternehmen, bei dem ein Ausschlussgrund nach § 123 oder § 124</w:t>
      </w:r>
      <w:r w:rsidR="00B44834" w:rsidRPr="00B50273">
        <w:rPr>
          <w:rFonts w:ascii="Avenir Next Condensed" w:hAnsi="Avenir Next Condensed"/>
          <w:color w:val="000000"/>
        </w:rPr>
        <w:t xml:space="preserve"> GWB</w:t>
      </w:r>
      <w:r w:rsidRPr="00B50273">
        <w:rPr>
          <w:rFonts w:ascii="Avenir Next Condensed" w:hAnsi="Avenir Next Condensed"/>
          <w:color w:val="000000"/>
        </w:rPr>
        <w:t xml:space="preserve"> vorliegt, nicht von der Teilnahme an dem Vergabeverfahren aus, wenn das Unternehmen nachgewiesen hat, </w:t>
      </w:r>
    </w:p>
    <w:p w14:paraId="49250A80" w14:textId="762B8AF4"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für jeden durch eine Straftat oder ein Fehlverhalten verursachten Schaden einen Ausgleich gezahlt oder sich zur Zahlung eines Ausgleichs verpflichtet hat,</w:t>
      </w:r>
    </w:p>
    <w:p w14:paraId="2D10B0EF" w14:textId="0CA7333C" w:rsidR="00D513F1" w:rsidRPr="00B50273"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20BDBE88" w14:textId="43C5EF2D" w:rsidR="00A74091" w:rsidRPr="00B6220C" w:rsidRDefault="00005B49" w:rsidP="00B6220C">
      <w:pPr>
        <w:numPr>
          <w:ilvl w:val="0"/>
          <w:numId w:val="4"/>
        </w:numPr>
        <w:spacing w:line="252" w:lineRule="auto"/>
        <w:rPr>
          <w:rFonts w:ascii="Avenir Next Condensed" w:hAnsi="Avenir Next Condensed"/>
          <w:color w:val="000000"/>
          <w:szCs w:val="20"/>
        </w:rPr>
      </w:pPr>
      <w:r w:rsidRPr="00B50273">
        <w:rPr>
          <w:rFonts w:ascii="Avenir Next Condensed" w:hAnsi="Avenir Next Condensed"/>
          <w:color w:val="000000"/>
          <w:szCs w:val="20"/>
        </w:rPr>
        <w:t xml:space="preserve">dass es </w:t>
      </w:r>
      <w:r w:rsidR="00D513F1" w:rsidRPr="00B50273">
        <w:rPr>
          <w:rFonts w:ascii="Avenir Next Condensed" w:hAnsi="Avenir Next Condensed"/>
          <w:color w:val="000000"/>
          <w:szCs w:val="20"/>
        </w:rPr>
        <w:t>konkrete technische, organisatorische und personelle Maßnahmen ergriffen hat, die geeignet sind, weitere Straftaten oder weiteres Fehlverhalten zu vermeiden.</w:t>
      </w:r>
    </w:p>
    <w:p w14:paraId="58851937" w14:textId="28069CE5" w:rsidR="00D513F1" w:rsidRPr="00B50273" w:rsidRDefault="00D513F1" w:rsidP="00B6220C">
      <w:pPr>
        <w:spacing w:before="120" w:line="252" w:lineRule="auto"/>
        <w:rPr>
          <w:rFonts w:ascii="Avenir Next Condensed" w:hAnsi="Avenir Next Condensed"/>
          <w:color w:val="000000"/>
        </w:rPr>
      </w:pPr>
      <w:r w:rsidRPr="00B50273">
        <w:rPr>
          <w:rFonts w:ascii="Avenir Next Condensed" w:hAnsi="Avenir Next Condensed"/>
          <w:color w:val="000000"/>
        </w:rPr>
        <w:t>§ 123 Absatz 4 Satz 2</w:t>
      </w:r>
      <w:r w:rsidR="00C37D0D" w:rsidRPr="00B50273">
        <w:rPr>
          <w:rFonts w:ascii="Avenir Next Condensed" w:hAnsi="Avenir Next Condensed"/>
          <w:color w:val="000000"/>
        </w:rPr>
        <w:t xml:space="preserve"> </w:t>
      </w:r>
      <w:r w:rsidR="00B44834" w:rsidRPr="00B50273">
        <w:rPr>
          <w:rFonts w:ascii="Avenir Next Condensed" w:hAnsi="Avenir Next Condensed"/>
          <w:color w:val="000000"/>
        </w:rPr>
        <w:t>GWB</w:t>
      </w:r>
      <w:r w:rsidRPr="00B50273">
        <w:rPr>
          <w:rFonts w:ascii="Avenir Next Condensed" w:hAnsi="Avenir Next Condensed"/>
          <w:color w:val="000000"/>
        </w:rPr>
        <w:t xml:space="preserve"> bleibt unberührt.</w:t>
      </w:r>
    </w:p>
    <w:p w14:paraId="0270F536" w14:textId="77777777" w:rsidR="00D513F1" w:rsidRPr="00B50273" w:rsidRDefault="00D513F1" w:rsidP="00D513F1">
      <w:pPr>
        <w:rPr>
          <w:rFonts w:ascii="Avenir Next Condensed" w:hAnsi="Avenir Next Condensed"/>
          <w:color w:val="000000"/>
        </w:rPr>
      </w:pPr>
      <w:r w:rsidRPr="00B50273">
        <w:rPr>
          <w:rFonts w:ascii="Avenir Next Condensed" w:hAnsi="Avenir Next Condensed"/>
          <w:color w:val="000000"/>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6925B48B" w:rsidR="00D513F1" w:rsidRPr="009B3F8F" w:rsidRDefault="005828A7" w:rsidP="005828A7">
      <w:pPr>
        <w:pStyle w:val="berschrift1"/>
        <w:numPr>
          <w:ilvl w:val="0"/>
          <w:numId w:val="0"/>
        </w:numPr>
        <w:ind w:left="851" w:hanging="851"/>
        <w:rPr>
          <w:b/>
          <w:bCs w:val="0"/>
          <w:color w:val="000000"/>
        </w:rPr>
      </w:pPr>
      <w:r>
        <w:rPr>
          <w:bCs w:val="0"/>
          <w:color w:val="000000"/>
        </w:rPr>
        <w:lastRenderedPageBreak/>
        <w:t>5</w:t>
      </w:r>
      <w:r>
        <w:rPr>
          <w:bCs w:val="0"/>
          <w:color w:val="000000"/>
        </w:rPr>
        <w:tab/>
      </w:r>
      <w:r w:rsidR="00D513F1" w:rsidRPr="009B3F8F">
        <w:rPr>
          <w:bCs w:val="0"/>
          <w:color w:val="000000"/>
        </w:rPr>
        <w:t>Vorliegen von Ausschlussgründen gemäß §§ 123 und 124 GWB</w:t>
      </w:r>
    </w:p>
    <w:p w14:paraId="1F634826" w14:textId="77777777" w:rsidR="00D513F1" w:rsidRPr="00B50273" w:rsidRDefault="00D513F1" w:rsidP="00295841">
      <w:pPr>
        <w:spacing w:line="252" w:lineRule="auto"/>
        <w:rPr>
          <w:rFonts w:ascii="Avenir Next Condensed" w:hAnsi="Avenir Next Condensed" w:cs="Arial"/>
          <w:color w:val="000000"/>
          <w:szCs w:val="20"/>
        </w:rPr>
      </w:pPr>
      <w:r w:rsidRPr="00B50273">
        <w:rPr>
          <w:rFonts w:ascii="Avenir Next Condensed" w:hAnsi="Avenir Next Condensed"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5EEFD48F" w14:textId="77777777" w:rsidTr="00585991">
        <w:trPr>
          <w:trHeight w:val="680"/>
        </w:trPr>
        <w:tc>
          <w:tcPr>
            <w:tcW w:w="4536" w:type="dxa"/>
            <w:vAlign w:val="center"/>
          </w:tcPr>
          <w:p w14:paraId="5877AB71" w14:textId="77777777"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bookmarkStart w:id="0" w:name="_Hlk8810357"/>
            <w:r w:rsidRPr="009B3F8F">
              <w:rPr>
                <w:rFonts w:ascii="Avenir Next Condensed Demi Bold" w:hAnsi="Avenir Next Condensed Demi Bold" w:cs="Arial"/>
                <w:color w:val="000000"/>
                <w:szCs w:val="20"/>
              </w:rPr>
              <w:t xml:space="preserve">Ausschlussgrund </w:t>
            </w:r>
          </w:p>
          <w:p w14:paraId="01F8FF6C" w14:textId="77777777"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B50273" w:rsidRDefault="00D513F1" w:rsidP="00F56EF7">
            <w:pPr>
              <w:autoSpaceDE w:val="0"/>
              <w:autoSpaceDN w:val="0"/>
              <w:adjustRightInd w:val="0"/>
              <w:jc w:val="left"/>
              <w:rPr>
                <w:rFonts w:ascii="Avenir Next Condensed" w:hAnsi="Avenir Next Condensed" w:cs="Arial"/>
                <w:b/>
                <w:color w:val="000000"/>
                <w:szCs w:val="20"/>
              </w:rPr>
            </w:pPr>
          </w:p>
        </w:tc>
      </w:tr>
      <w:tr w:rsidR="00E76ED2" w:rsidRPr="00B50273" w14:paraId="33FF5EAD" w14:textId="77777777" w:rsidTr="00585991">
        <w:trPr>
          <w:trHeight w:val="567"/>
        </w:trPr>
        <w:tc>
          <w:tcPr>
            <w:tcW w:w="4536" w:type="dxa"/>
          </w:tcPr>
          <w:p w14:paraId="5510FE00" w14:textId="355785C9" w:rsidR="00D513F1" w:rsidRPr="009B3F8F" w:rsidRDefault="00D513F1" w:rsidP="00F56EF7">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r w:rsidR="00FB4F2A" w:rsidRPr="009B3F8F">
              <w:rPr>
                <w:rFonts w:ascii="Avenir Next Condensed Demi Bold" w:hAnsi="Avenir Next Condensed Demi Bold" w:cs="Arial"/>
                <w:color w:val="000000"/>
                <w:szCs w:val="20"/>
              </w:rPr>
              <w:t xml:space="preserve"> GWB</w:t>
            </w:r>
          </w:p>
          <w:p w14:paraId="07ED2024" w14:textId="3366DB8B" w:rsidR="00D513F1" w:rsidRPr="00B50273" w:rsidRDefault="00D513F1"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90492875"/>
                <w14:checkbox>
                  <w14:checked w14:val="0"/>
                  <w14:checkedState w14:val="2612" w14:font="MS Gothic"/>
                  <w14:uncheckedState w14:val="2610" w14:font="MS Gothic"/>
                </w14:checkbox>
              </w:sdtPr>
              <w:sdtContent>
                <w:r w:rsidR="005D3BE7"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Cs w:val="20"/>
              </w:rPr>
              <w:t xml:space="preserve"> § 125 Abs. 1 Nr. 1 (siehe </w:t>
            </w:r>
            <w:r w:rsidR="00C17009" w:rsidRPr="00B50273">
              <w:rPr>
                <w:rFonts w:ascii="Avenir Next Condensed" w:hAnsi="Avenir Next Condensed"/>
                <w:color w:val="000000"/>
                <w:szCs w:val="20"/>
              </w:rPr>
              <w:t>Pkt. 4, Spiegelstrich eins</w:t>
            </w:r>
            <w:r w:rsidR="00D513F1" w:rsidRPr="00B50273">
              <w:rPr>
                <w:rFonts w:ascii="Avenir Next Condensed" w:hAnsi="Avenir Next Condensed"/>
                <w:color w:val="000000"/>
                <w:szCs w:val="20"/>
              </w:rPr>
              <w:t>)</w:t>
            </w:r>
          </w:p>
          <w:p w14:paraId="1E15139D" w14:textId="0B21BA92"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874199330"/>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zwei)</w:t>
            </w:r>
          </w:p>
          <w:p w14:paraId="299E2BB4" w14:textId="55F9568E" w:rsidR="00D513F1" w:rsidRPr="00B50273" w:rsidRDefault="00000000" w:rsidP="00F56EF7">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892925822"/>
                <w14:checkbox>
                  <w14:checked w14:val="0"/>
                  <w14:checkedState w14:val="2612" w14:font="MS Gothic"/>
                  <w14:uncheckedState w14:val="2610" w14:font="MS Gothic"/>
                </w14:checkbox>
              </w:sdtPr>
              <w:sdtContent>
                <w:r w:rsidR="00D513F1" w:rsidRPr="00B50273">
                  <w:rPr>
                    <w:rFonts w:ascii="Segoe UI Symbol" w:eastAsia="MS Gothic" w:hAnsi="Segoe UI Symbol" w:cs="Segoe UI Symbol"/>
                    <w:color w:val="000000"/>
                    <w:sz w:val="24"/>
                  </w:rPr>
                  <w:t>☐</w:t>
                </w:r>
              </w:sdtContent>
            </w:sdt>
            <w:r w:rsidR="00D513F1" w:rsidRPr="00B50273">
              <w:rPr>
                <w:rFonts w:ascii="Avenir Next Condensed" w:hAnsi="Avenir Next Condensed"/>
                <w:color w:val="000000"/>
                <w:sz w:val="24"/>
              </w:rPr>
              <w:t xml:space="preserve"> </w:t>
            </w:r>
            <w:r w:rsidR="00D513F1" w:rsidRPr="00B50273">
              <w:rPr>
                <w:rFonts w:ascii="Avenir Next Condensed" w:hAnsi="Avenir Next Condensed"/>
                <w:color w:val="000000"/>
                <w:szCs w:val="20"/>
              </w:rPr>
              <w:t>§ 125 Abs. 1 Nr. 1 (</w:t>
            </w:r>
            <w:r w:rsidR="00C17009" w:rsidRPr="00B50273">
              <w:rPr>
                <w:rFonts w:ascii="Avenir Next Condensed" w:hAnsi="Avenir Next Condensed"/>
                <w:color w:val="000000"/>
                <w:szCs w:val="20"/>
              </w:rPr>
              <w:t>siehe Pkt. 4, Spiegelstrich drei)</w:t>
            </w:r>
          </w:p>
        </w:tc>
      </w:tr>
    </w:tbl>
    <w:p w14:paraId="66DFD4DC" w14:textId="42D5F175" w:rsidR="00D513F1" w:rsidRPr="00B50273" w:rsidRDefault="00D513F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4F3DA927" w14:textId="77777777" w:rsidTr="007E64DE">
        <w:trPr>
          <w:trHeight w:val="680"/>
        </w:trPr>
        <w:tc>
          <w:tcPr>
            <w:tcW w:w="4536" w:type="dxa"/>
            <w:vAlign w:val="center"/>
          </w:tcPr>
          <w:p w14:paraId="560D3BCE"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54BC3A8E"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370E547" w14:textId="77777777" w:rsidTr="007E64DE">
        <w:trPr>
          <w:trHeight w:val="567"/>
        </w:trPr>
        <w:tc>
          <w:tcPr>
            <w:tcW w:w="4536" w:type="dxa"/>
          </w:tcPr>
          <w:p w14:paraId="0B8F1D14" w14:textId="77777777" w:rsidR="00585991" w:rsidRPr="00105B6D" w:rsidRDefault="00585991" w:rsidP="007E64DE">
            <w:pPr>
              <w:autoSpaceDE w:val="0"/>
              <w:autoSpaceDN w:val="0"/>
              <w:adjustRightInd w:val="0"/>
              <w:jc w:val="left"/>
              <w:rPr>
                <w:rFonts w:ascii="Avenir Next Condensed Demi Bold" w:hAnsi="Avenir Next Condensed Demi Bold" w:cs="Arial"/>
                <w:b/>
                <w:bCs/>
                <w:color w:val="000000"/>
                <w:szCs w:val="20"/>
              </w:rPr>
            </w:pPr>
            <w:r w:rsidRPr="009B3F8F">
              <w:rPr>
                <w:rFonts w:ascii="Avenir Next Condensed Demi Bold" w:hAnsi="Avenir Next Condensed Demi Bold" w:cs="Arial"/>
                <w:color w:val="000000"/>
                <w:szCs w:val="20"/>
              </w:rPr>
              <w:t>Selbstreinigungsmaßnahme nach § 125 Abs.</w:t>
            </w:r>
            <w:r w:rsidRPr="00105B6D">
              <w:rPr>
                <w:rFonts w:ascii="Avenir Next Condensed Demi Bold" w:hAnsi="Avenir Next Condensed Demi Bold" w:cs="Arial"/>
                <w:b/>
                <w:bCs/>
                <w:color w:val="000000"/>
                <w:szCs w:val="20"/>
              </w:rPr>
              <w:t xml:space="preserve"> 1</w:t>
            </w:r>
          </w:p>
          <w:p w14:paraId="0C5B4EED" w14:textId="40F6DAF3"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8682558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2456EAE"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38791372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4C8C0A38" w14:textId="6CB3F375"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723783961"/>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249CEAD9" w14:textId="3EB8269A"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B50273" w14:paraId="3C93CFBC" w14:textId="77777777" w:rsidTr="00C17009">
        <w:trPr>
          <w:trHeight w:val="680"/>
        </w:trPr>
        <w:tc>
          <w:tcPr>
            <w:tcW w:w="4536" w:type="dxa"/>
            <w:vAlign w:val="center"/>
          </w:tcPr>
          <w:p w14:paraId="760B011B"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 xml:space="preserve">Ausschlussgrund </w:t>
            </w:r>
          </w:p>
          <w:p w14:paraId="1F36541C" w14:textId="77777777"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B50273" w:rsidRDefault="00585991" w:rsidP="007E64DE">
            <w:pPr>
              <w:autoSpaceDE w:val="0"/>
              <w:autoSpaceDN w:val="0"/>
              <w:adjustRightInd w:val="0"/>
              <w:jc w:val="left"/>
              <w:rPr>
                <w:rFonts w:ascii="Avenir Next Condensed" w:hAnsi="Avenir Next Condensed" w:cs="Arial"/>
                <w:b/>
                <w:color w:val="000000"/>
                <w:szCs w:val="20"/>
              </w:rPr>
            </w:pPr>
          </w:p>
        </w:tc>
      </w:tr>
      <w:tr w:rsidR="00E76ED2" w:rsidRPr="00B50273" w14:paraId="3C8F0BF2" w14:textId="77777777" w:rsidTr="00C17009">
        <w:trPr>
          <w:trHeight w:val="567"/>
        </w:trPr>
        <w:tc>
          <w:tcPr>
            <w:tcW w:w="4536" w:type="dxa"/>
          </w:tcPr>
          <w:p w14:paraId="0D953818" w14:textId="77777777" w:rsidR="00585991" w:rsidRPr="009B3F8F" w:rsidRDefault="00585991" w:rsidP="007E64DE">
            <w:pPr>
              <w:autoSpaceDE w:val="0"/>
              <w:autoSpaceDN w:val="0"/>
              <w:adjustRightInd w:val="0"/>
              <w:jc w:val="left"/>
              <w:rPr>
                <w:rFonts w:ascii="Avenir Next Condensed Demi Bold" w:hAnsi="Avenir Next Condensed Demi Bold" w:cs="Arial"/>
                <w:color w:val="000000"/>
                <w:szCs w:val="20"/>
              </w:rPr>
            </w:pPr>
            <w:r w:rsidRPr="009B3F8F">
              <w:rPr>
                <w:rFonts w:ascii="Avenir Next Condensed Demi Bold" w:hAnsi="Avenir Next Condensed Demi Bold" w:cs="Arial"/>
                <w:color w:val="000000"/>
                <w:szCs w:val="20"/>
              </w:rPr>
              <w:t>Selbstreinigungsmaßnahme nach § 125 Abs. 1</w:t>
            </w:r>
          </w:p>
          <w:p w14:paraId="30959E34" w14:textId="6E12BD31" w:rsidR="00585991" w:rsidRPr="00B50273" w:rsidRDefault="00585991" w:rsidP="007E64DE">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(Nachweis ist als </w:t>
            </w:r>
            <w:r w:rsidR="001669E4" w:rsidRPr="00B50273">
              <w:rPr>
                <w:rFonts w:ascii="Avenir Next Condensed" w:hAnsi="Avenir Next Condensed" w:cs="Arial"/>
                <w:color w:val="000000"/>
                <w:szCs w:val="20"/>
              </w:rPr>
              <w:t xml:space="preserve">sonstige </w:t>
            </w:r>
            <w:r w:rsidRPr="00B50273">
              <w:rPr>
                <w:rFonts w:ascii="Avenir Next Condensed" w:hAnsi="Avenir Next Condensed"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145827005"/>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Cs w:val="20"/>
              </w:rPr>
              <w:t xml:space="preserve"> § 125 Abs. 1 Nr. 1 (siehe Pkt. 4, Spiegelstrich eins)</w:t>
            </w:r>
          </w:p>
          <w:p w14:paraId="76212DD9" w14:textId="77777777" w:rsidR="00C17009"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4486414"/>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zwei)</w:t>
            </w:r>
          </w:p>
          <w:p w14:paraId="56BD706E" w14:textId="71E8C7B4" w:rsidR="00585991" w:rsidRPr="00B50273" w:rsidRDefault="00000000" w:rsidP="00C17009">
            <w:pPr>
              <w:autoSpaceDE w:val="0"/>
              <w:autoSpaceDN w:val="0"/>
              <w:adjustRightInd w:val="0"/>
              <w:jc w:val="left"/>
              <w:rPr>
                <w:rFonts w:ascii="Avenir Next Condensed" w:hAnsi="Avenir Next Condensed"/>
                <w:color w:val="000000"/>
                <w:szCs w:val="20"/>
              </w:rPr>
            </w:pPr>
            <w:sdt>
              <w:sdtPr>
                <w:rPr>
                  <w:rFonts w:ascii="Avenir Next Condensed" w:hAnsi="Avenir Next Condensed"/>
                  <w:color w:val="000000"/>
                  <w:sz w:val="24"/>
                </w:rPr>
                <w:id w:val="79338036"/>
                <w14:checkbox>
                  <w14:checked w14:val="0"/>
                  <w14:checkedState w14:val="2612" w14:font="MS Gothic"/>
                  <w14:uncheckedState w14:val="2610" w14:font="MS Gothic"/>
                </w14:checkbox>
              </w:sdtPr>
              <w:sdtContent>
                <w:r w:rsidR="00C17009" w:rsidRPr="00B50273">
                  <w:rPr>
                    <w:rFonts w:ascii="Segoe UI Symbol" w:eastAsia="MS Gothic" w:hAnsi="Segoe UI Symbol" w:cs="Segoe UI Symbol"/>
                    <w:color w:val="000000"/>
                    <w:sz w:val="24"/>
                  </w:rPr>
                  <w:t>☐</w:t>
                </w:r>
              </w:sdtContent>
            </w:sdt>
            <w:r w:rsidR="00C17009" w:rsidRPr="00B50273">
              <w:rPr>
                <w:rFonts w:ascii="Avenir Next Condensed" w:hAnsi="Avenir Next Condensed"/>
                <w:color w:val="000000"/>
                <w:sz w:val="24"/>
              </w:rPr>
              <w:t xml:space="preserve"> </w:t>
            </w:r>
            <w:r w:rsidR="00C17009" w:rsidRPr="00B50273">
              <w:rPr>
                <w:rFonts w:ascii="Avenir Next Condensed" w:hAnsi="Avenir Next Condensed"/>
                <w:color w:val="000000"/>
                <w:szCs w:val="20"/>
              </w:rPr>
              <w:t>§ 125 Abs. 1 Nr. 1 (siehe Pkt. 4, Spiegelstrich drei)</w:t>
            </w:r>
          </w:p>
        </w:tc>
      </w:tr>
    </w:tbl>
    <w:p w14:paraId="493AA739" w14:textId="77777777" w:rsidR="00585991" w:rsidRPr="00B50273" w:rsidRDefault="00585991" w:rsidP="00B6220C">
      <w:pPr>
        <w:spacing w:line="252" w:lineRule="auto"/>
        <w:rPr>
          <w:rFonts w:ascii="Avenir Next Condensed" w:hAnsi="Avenir Next Condensed"/>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B50273" w14:paraId="702E0CE3" w14:textId="77777777" w:rsidTr="00585991">
        <w:trPr>
          <w:trHeight w:val="680"/>
        </w:trPr>
        <w:tc>
          <w:tcPr>
            <w:tcW w:w="3969" w:type="dxa"/>
            <w:vAlign w:val="bottom"/>
          </w:tcPr>
          <w:p w14:paraId="138E3763"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bookmarkStart w:id="1" w:name="_Toc453752092"/>
            <w:bookmarkStart w:id="2" w:name="_Toc522786473"/>
            <w:bookmarkStart w:id="3" w:name="_Toc522787207"/>
            <w:bookmarkStart w:id="4" w:name="_Toc7184891"/>
            <w:bookmarkEnd w:id="0"/>
            <w:r w:rsidRPr="00B50273">
              <w:rPr>
                <w:rFonts w:ascii="Avenir Next Condensed" w:hAnsi="Avenir Next Condensed"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tr w:rsidR="00E76ED2" w:rsidRPr="00B50273" w14:paraId="3B4EE379" w14:textId="77777777" w:rsidTr="00585991">
        <w:trPr>
          <w:trHeight w:val="680"/>
        </w:trPr>
        <w:tc>
          <w:tcPr>
            <w:tcW w:w="3969" w:type="dxa"/>
            <w:vAlign w:val="bottom"/>
          </w:tcPr>
          <w:p w14:paraId="31B15CEC" w14:textId="2F9DE0DB" w:rsidR="00E908E6" w:rsidRPr="00B50273" w:rsidRDefault="00E908E6" w:rsidP="00F56EF7">
            <w:pPr>
              <w:autoSpaceDE w:val="0"/>
              <w:autoSpaceDN w:val="0"/>
              <w:adjustRightInd w:val="0"/>
              <w:jc w:val="left"/>
              <w:rPr>
                <w:rFonts w:ascii="Avenir Next Condensed" w:hAnsi="Avenir Next Condensed" w:cs="Arial"/>
                <w:color w:val="000000"/>
                <w:szCs w:val="20"/>
              </w:rPr>
            </w:pPr>
            <w:r w:rsidRPr="00B50273">
              <w:rPr>
                <w:rFonts w:ascii="Avenir Next Condensed" w:hAnsi="Avenir Next Condensed" w:cs="Arial"/>
                <w:color w:val="000000"/>
                <w:szCs w:val="20"/>
              </w:rPr>
              <w:t xml:space="preserve">Unterschrift </w:t>
            </w:r>
            <w:r w:rsidR="00B50273">
              <w:rPr>
                <w:rFonts w:ascii="Avenir Next Condensed" w:hAnsi="Avenir Next Condensed" w:cs="Arial"/>
                <w:color w:val="000000"/>
                <w:szCs w:val="20"/>
              </w:rPr>
              <w:t xml:space="preserve">in Textform nach 126b BGB, </w:t>
            </w:r>
            <w:r w:rsidRPr="00B50273">
              <w:rPr>
                <w:rFonts w:ascii="Avenir Next Condensed" w:hAnsi="Avenir Next Condensed"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B50273" w:rsidRDefault="00E908E6" w:rsidP="00F56EF7">
            <w:pPr>
              <w:autoSpaceDE w:val="0"/>
              <w:autoSpaceDN w:val="0"/>
              <w:adjustRightInd w:val="0"/>
              <w:jc w:val="left"/>
              <w:rPr>
                <w:rFonts w:ascii="Avenir Next Condensed" w:hAnsi="Avenir Next Condensed" w:cs="Arial"/>
                <w:color w:val="000000"/>
                <w:szCs w:val="20"/>
              </w:rPr>
            </w:pPr>
          </w:p>
        </w:tc>
      </w:tr>
      <w:bookmarkEnd w:id="1"/>
      <w:bookmarkEnd w:id="2"/>
      <w:bookmarkEnd w:id="3"/>
      <w:bookmarkEnd w:id="4"/>
    </w:tbl>
    <w:p w14:paraId="504F9DC2" w14:textId="77777777" w:rsidR="00005B49" w:rsidRPr="00B50273" w:rsidRDefault="00005B49" w:rsidP="00B6220C">
      <w:pPr>
        <w:spacing w:line="252" w:lineRule="auto"/>
        <w:rPr>
          <w:rFonts w:ascii="Avenir Next Condensed" w:hAnsi="Avenir Next Condensed"/>
          <w:b/>
          <w:bCs/>
          <w:caps/>
          <w:color w:val="000000"/>
          <w:szCs w:val="20"/>
        </w:rPr>
      </w:pPr>
    </w:p>
    <w:sectPr w:rsidR="00005B49" w:rsidRPr="00B50273" w:rsidSect="004249C5">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BC8D06" w14:textId="77777777" w:rsidR="00EC350B" w:rsidRDefault="00EC350B">
      <w:r>
        <w:separator/>
      </w:r>
    </w:p>
  </w:endnote>
  <w:endnote w:type="continuationSeparator" w:id="0">
    <w:p w14:paraId="5D2EAC4E" w14:textId="77777777" w:rsidR="00EC350B" w:rsidRDefault="00EC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E7F854" w14:textId="49C79903" w:rsidR="000141C2" w:rsidRPr="00AA726B" w:rsidRDefault="004249C5" w:rsidP="00AA726B">
    <w:pPr>
      <w:pStyle w:val="Kopfzeile"/>
      <w:ind w:left="1134"/>
      <w:jc w:val="right"/>
      <w:rPr>
        <w:szCs w:val="20"/>
      </w:rPr>
    </w:pPr>
    <w:r>
      <w:rPr>
        <w:rFonts w:cs="Arial"/>
        <w:szCs w:val="20"/>
      </w:rPr>
      <w:t xml:space="preserve">Seite </w:t>
    </w:r>
    <w:r w:rsidR="00AA726B" w:rsidRPr="0011563F">
      <w:rPr>
        <w:rFonts w:cs="Arial"/>
        <w:szCs w:val="20"/>
      </w:rPr>
      <w:fldChar w:fldCharType="begin"/>
    </w:r>
    <w:r w:rsidR="00AA726B" w:rsidRPr="0011563F">
      <w:rPr>
        <w:rFonts w:cs="Arial"/>
        <w:szCs w:val="20"/>
      </w:rPr>
      <w:instrText xml:space="preserve"> PAGE </w:instrText>
    </w:r>
    <w:r w:rsidR="00AA726B" w:rsidRPr="0011563F">
      <w:rPr>
        <w:rFonts w:cs="Arial"/>
        <w:szCs w:val="20"/>
      </w:rPr>
      <w:fldChar w:fldCharType="separate"/>
    </w:r>
    <w:r w:rsidR="00AA726B">
      <w:rPr>
        <w:rFonts w:cs="Arial"/>
        <w:szCs w:val="20"/>
      </w:rPr>
      <w:t>1</w:t>
    </w:r>
    <w:r w:rsidR="00AA726B" w:rsidRPr="0011563F">
      <w:rPr>
        <w:rFonts w:cs="Arial"/>
        <w:szCs w:val="20"/>
      </w:rPr>
      <w:fldChar w:fldCharType="end"/>
    </w:r>
    <w:r>
      <w:rPr>
        <w:rFonts w:cs="Arial"/>
        <w:szCs w:val="20"/>
      </w:rPr>
      <w:t xml:space="preserve"> von </w:t>
    </w:r>
    <w:r>
      <w:rPr>
        <w:rFonts w:cs="Arial"/>
        <w:szCs w:val="20"/>
      </w:rPr>
      <w:fldChar w:fldCharType="begin"/>
    </w:r>
    <w:r>
      <w:rPr>
        <w:rFonts w:cs="Arial"/>
        <w:szCs w:val="20"/>
      </w:rPr>
      <w:instrText xml:space="preserve"> NUMPAGES  \* Arabic  \* MERGEFORMAT </w:instrText>
    </w:r>
    <w:r>
      <w:rPr>
        <w:rFonts w:cs="Arial"/>
        <w:szCs w:val="20"/>
      </w:rPr>
      <w:fldChar w:fldCharType="separate"/>
    </w:r>
    <w:r>
      <w:rPr>
        <w:rFonts w:cs="Arial"/>
        <w:noProof/>
        <w:szCs w:val="20"/>
      </w:rPr>
      <w:t>4</w:t>
    </w:r>
    <w:r>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D0E275" w14:textId="0DF73CAB"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B5CE8">
      <w:rPr>
        <w:noProof/>
        <w:sz w:val="16"/>
        <w:szCs w:val="16"/>
      </w:rPr>
      <w:t>Anlage T.3_2148_VgV TWP GS Schutterwald_Rechtslage.docx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4EC1917" w14:textId="77777777" w:rsidR="00EC350B" w:rsidRDefault="00EC350B">
      <w:r>
        <w:separator/>
      </w:r>
    </w:p>
  </w:footnote>
  <w:footnote w:type="continuationSeparator" w:id="0">
    <w:p w14:paraId="496DE2C4" w14:textId="77777777" w:rsidR="00EC350B" w:rsidRDefault="00EC3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2D06510" w14:textId="77777777" w:rsidR="00652B3B" w:rsidRPr="00652B3B" w:rsidRDefault="00652B3B" w:rsidP="00652B3B">
    <w:pPr>
      <w:pStyle w:val="Kopfzeile"/>
      <w:tabs>
        <w:tab w:val="center" w:pos="7936"/>
      </w:tabs>
      <w:spacing w:line="288" w:lineRule="auto"/>
      <w:ind w:left="-1134" w:firstLine="1134"/>
      <w:jc w:val="left"/>
      <w:rPr>
        <w:color w:val="000000"/>
        <w:sz w:val="18"/>
        <w:szCs w:val="18"/>
      </w:rPr>
    </w:pPr>
    <w:bookmarkStart w:id="5" w:name="_Hlk76561767"/>
    <w:r w:rsidRPr="00652B3B">
      <w:rPr>
        <w:color w:val="000000"/>
        <w:sz w:val="18"/>
        <w:szCs w:val="18"/>
      </w:rPr>
      <w:t>Verhandlungsverfahren gemäß (§ 17 VgV) für Generalplanerleistungen</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B0583" w14:textId="6A4DF0E8" w:rsidR="004249C5" w:rsidRPr="002F1409" w:rsidRDefault="004249C5" w:rsidP="002F1409">
    <w:pPr>
      <w:spacing w:line="252" w:lineRule="auto"/>
      <w:rPr>
        <w:rFonts w:ascii="Avenir Next Condensed" w:hAnsi="Avenir Next Condensed"/>
        <w:color w:val="000000"/>
        <w:szCs w:val="20"/>
      </w:rPr>
    </w:pPr>
    <w:r w:rsidRPr="00105B6D">
      <w:rPr>
        <w:rFonts w:ascii="Avenir Next Condensed" w:hAnsi="Avenir Next Condensed"/>
        <w:color w:val="000000"/>
        <w:szCs w:val="20"/>
      </w:rPr>
      <w:t xml:space="preserve">Verhandlungsverfahren (§ 17 VgV) </w:t>
    </w:r>
    <w:r w:rsidR="00B57918" w:rsidRPr="00B57918">
      <w:rPr>
        <w:rFonts w:ascii="Avenir Next Condensed" w:hAnsi="Avenir Next Condensed"/>
        <w:color w:val="000000"/>
        <w:szCs w:val="20"/>
      </w:rPr>
      <w:t>für Objektplanungsleistungen Freianlagen</w:t>
    </w:r>
  </w:p>
  <w:p w14:paraId="79CE1114" w14:textId="6BAF196E" w:rsidR="00D35014" w:rsidRPr="002F1409" w:rsidRDefault="00D35014" w:rsidP="005828A7">
    <w:pPr>
      <w:spacing w:line="252" w:lineRule="auto"/>
      <w:rPr>
        <w:rFonts w:ascii="Avenir Next Condensed" w:hAnsi="Avenir Next Condensed"/>
        <w:color w:val="000000"/>
        <w:szCs w:val="20"/>
      </w:rPr>
    </w:pPr>
    <w:r w:rsidRPr="002F1409">
      <w:rPr>
        <w:rFonts w:ascii="Avenir Next Condensed" w:hAnsi="Avenir Next Condensed"/>
        <w:color w:val="000000"/>
        <w:szCs w:val="20"/>
      </w:rPr>
      <w:t>Feuerwehrgerätehaus Nord</w:t>
    </w:r>
    <w:r w:rsidR="009B3F8F" w:rsidRPr="002F1409">
      <w:rPr>
        <w:rFonts w:ascii="Avenir Next Condensed" w:hAnsi="Avenir Next Condensed"/>
        <w:color w:val="000000"/>
        <w:szCs w:val="20"/>
      </w:rPr>
      <w:t xml:space="preserve"> </w:t>
    </w:r>
    <w:r w:rsidRPr="002F1409">
      <w:rPr>
        <w:rFonts w:ascii="Avenir Next Condensed" w:hAnsi="Avenir Next Condensed"/>
        <w:color w:val="000000"/>
        <w:szCs w:val="20"/>
      </w:rPr>
      <w:t xml:space="preserve">   |   Stadt Müllheim</w:t>
    </w:r>
  </w:p>
  <w:p w14:paraId="2EA41C90" w14:textId="77777777" w:rsidR="004249C5" w:rsidRPr="00B50273" w:rsidRDefault="004249C5" w:rsidP="005828A7">
    <w:pPr>
      <w:pStyle w:val="Kopfzeile"/>
      <w:spacing w:line="252" w:lineRule="auto"/>
      <w:ind w:firstLine="0"/>
      <w:jc w:val="left"/>
      <w:rPr>
        <w:rFonts w:ascii="Avenir Next Condensed" w:hAnsi="Avenir Next Condensed"/>
        <w:szCs w:val="20"/>
      </w:rPr>
    </w:pPr>
  </w:p>
  <w:p w14:paraId="129C5A14" w14:textId="77777777" w:rsidR="00C91229" w:rsidRPr="009B3F8F" w:rsidRDefault="00C91229" w:rsidP="005828A7">
    <w:pPr>
      <w:pStyle w:val="Kopfzeile"/>
      <w:spacing w:line="252" w:lineRule="auto"/>
      <w:ind w:firstLine="0"/>
      <w:jc w:val="left"/>
      <w:rPr>
        <w:rFonts w:ascii="Avenir Next Condensed Demi Bold" w:hAnsi="Avenir Next Condensed Demi Bold"/>
        <w:caps/>
        <w:szCs w:val="20"/>
      </w:rPr>
    </w:pPr>
    <w:r w:rsidRPr="009B3F8F">
      <w:rPr>
        <w:rFonts w:ascii="Avenir Next Condensed Demi Bold" w:hAnsi="Avenir Next Condensed Demi Bold"/>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4FFE1B3C"/>
    <w:lvl w:ilvl="0">
      <w:start w:val="1"/>
      <w:numFmt w:val="decimal"/>
      <w:pStyle w:val="berschrift1"/>
      <w:lvlText w:val="%1"/>
      <w:lvlJc w:val="left"/>
      <w:pPr>
        <w:ind w:left="-774" w:hanging="360"/>
      </w:pPr>
      <w:rPr>
        <w:rFonts w:ascii="Avenir Next Condensed Demi Bold" w:hAnsi="Avenir Next Condensed Demi Bold" w:hint="default"/>
        <w:b/>
        <w:bCs/>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4275"/>
    <w:rsid w:val="0008565D"/>
    <w:rsid w:val="00086DAE"/>
    <w:rsid w:val="00087970"/>
    <w:rsid w:val="00091BFD"/>
    <w:rsid w:val="00096A17"/>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1BF"/>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5B6D"/>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5841"/>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409"/>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27B"/>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0D6"/>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49C5"/>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5E2"/>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26B"/>
    <w:rsid w:val="00576773"/>
    <w:rsid w:val="00576BB9"/>
    <w:rsid w:val="00576C51"/>
    <w:rsid w:val="00576E74"/>
    <w:rsid w:val="0058018D"/>
    <w:rsid w:val="005812CD"/>
    <w:rsid w:val="005824A9"/>
    <w:rsid w:val="005828A7"/>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658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092B"/>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4921"/>
    <w:rsid w:val="006A7F17"/>
    <w:rsid w:val="006B0329"/>
    <w:rsid w:val="006B26F6"/>
    <w:rsid w:val="006B2811"/>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38B6"/>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3F8F"/>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0273"/>
    <w:rsid w:val="00B52144"/>
    <w:rsid w:val="00B52B4E"/>
    <w:rsid w:val="00B53AE2"/>
    <w:rsid w:val="00B542B0"/>
    <w:rsid w:val="00B54C6A"/>
    <w:rsid w:val="00B56086"/>
    <w:rsid w:val="00B564AB"/>
    <w:rsid w:val="00B56FE2"/>
    <w:rsid w:val="00B57420"/>
    <w:rsid w:val="00B57918"/>
    <w:rsid w:val="00B60D11"/>
    <w:rsid w:val="00B618CD"/>
    <w:rsid w:val="00B619F9"/>
    <w:rsid w:val="00B6220C"/>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14"/>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49"/>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350B"/>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295841"/>
    <w:pPr>
      <w:keepNext/>
      <w:numPr>
        <w:numId w:val="1"/>
      </w:numPr>
      <w:spacing w:before="240" w:after="60" w:line="360" w:lineRule="auto"/>
      <w:ind w:left="851" w:hanging="851"/>
      <w:outlineLvl w:val="0"/>
    </w:pPr>
    <w:rPr>
      <w:rFonts w:ascii="Avenir Next Condensed Demi Bold" w:hAnsi="Avenir Next Condensed Demi Bold" w:cs="Arial"/>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295841"/>
    <w:rPr>
      <w:rFonts w:ascii="Avenir Next Condensed Demi Bold" w:hAnsi="Avenir Next Condensed Demi Bold" w:cs="Arial"/>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9599</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261</cp:revision>
  <cp:lastPrinted>2025-06-16T10:38:00Z</cp:lastPrinted>
  <dcterms:created xsi:type="dcterms:W3CDTF">2018-11-15T13:12:00Z</dcterms:created>
  <dcterms:modified xsi:type="dcterms:W3CDTF">2026-06-29T07:44:00Z</dcterms:modified>
</cp:coreProperties>
</file>